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Pajala kommunfullmäktige</w:t>
      </w:r>
    </w:p>
    <w:p>
      <w:pPr>
        <w:pStyle w:val="Heading1"/>
      </w:pPr>
      <w:r>
        <w:t xml:space="preserve">Snabbare handläggning av bygglov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Pajala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Kaunis Iron och underleverantörer upplever långa handläggningstider för bygglov (Svenskt Näringsliv 2023). Detta hämmar investeringar och jobbtillväxt i en kommun med hög arbetslöshet bland unga.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Pajala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uppdrar åt miljö- och byggnadsnämnden att införa digital ansökningsportal med 30-dagars handläggningsgaranti.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avsätter medel för en extra handläggare med inriktning på näringslivsärenden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begär kvartalsvis statistik över handläggningstider till 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uppdrar åt förvaltningen att erbjuda förhandsbesked inom 14 dagar för gruvrelaterade projekt.</w:t>
      </w:r>
    </w:p>
    <w:p>
      <w:pPr>
        <w:spacing w:before="360"/>
      </w:pPr>
    </w:p>
    <w:p>
      <w:r>
        <w:t xml:space="preserve">Pajala,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Pajala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2026-07-14T04:52:41.981Z</dcterms:created>
  <dcterms:modified xsi:type="dcterms:W3CDTF">2026-07-14T04:52:41.981Z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